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80"/>
      </w:pPr>
      <w:r>
        <w:rPr>
          <w:rFonts w:ascii="Arial" w:cs="Arial" w:eastAsia="Arial" w:hAnsi="Arial"/>
          <w:b/>
          <w:bCs/>
          <w:caps/>
          <w:color w:val="666666"/>
          <w:sz w:val="20"/>
          <w:szCs w:val="20"/>
        </w:rPr>
        <w:t xml:space="preserve">DICALO CONSULTING GROUP</w:t>
      </w:r>
    </w:p>
    <w:p>
      <w:pPr>
        <w:spacing w:before="0" w:after="40"/>
      </w:pPr>
      <w:r>
        <w:rPr>
          <w:rFonts w:ascii="Arial" w:cs="Arial" w:eastAsia="Arial" w:hAnsi="Arial"/>
          <w:i/>
          <w:iCs/>
          <w:color w:val="666666"/>
          <w:sz w:val="18"/>
          <w:szCs w:val="18"/>
        </w:rPr>
        <w:t xml:space="preserve">Business Insights | Financial Intelligence</w:t>
      </w:r>
    </w:p>
    <w:p>
      <w:pPr>
        <w:pBdr>
          <w:bottom w:val="single" w:color="4B0082" w:sz="2"/>
        </w:pBdr>
        <w:spacing w:before="200" w:after="200"/>
      </w:pPr>
      <w:r>
        <w:t xml:space="preserve"/>
      </w:r>
    </w:p>
    <w:p>
      <w:pPr>
        <w:spacing w:before="200" w:after="120"/>
      </w:pPr>
      <w:r>
        <w:rPr>
          <w:rFonts w:ascii="Arial" w:cs="Arial" w:eastAsia="Arial" w:hAnsi="Arial"/>
          <w:b/>
          <w:bCs/>
          <w:color w:val="4B0082"/>
          <w:sz w:val="48"/>
          <w:szCs w:val="48"/>
        </w:rPr>
        <w:t xml:space="preserve">OFFSHORE ACCOUNTS ARE ABOUT STRUCTURE</w:t>
      </w:r>
    </w:p>
    <w:p>
      <w:pPr>
        <w:spacing w:before="0" w:after="200"/>
      </w:pPr>
      <w:r>
        <w:rPr>
          <w:rFonts w:ascii="Arial" w:cs="Arial" w:eastAsia="Arial" w:hAnsi="Arial"/>
          <w:i/>
          <w:iCs/>
          <w:color w:val="1A1A2E"/>
          <w:sz w:val="36"/>
          <w:szCs w:val="36"/>
        </w:rPr>
        <w:t xml:space="preserve">— Not Secrecy</w:t>
      </w:r>
    </w:p>
    <w:p>
      <w:pPr>
        <w:spacing w:before="0" w:after="80"/>
      </w:pPr>
      <w:r>
        <w:rPr>
          <w:rFonts w:ascii="Arial" w:cs="Arial" w:eastAsia="Arial" w:hAnsi="Arial"/>
          <w:b/>
          <w:bCs/>
          <w:color w:val="666666"/>
          <w:sz w:val="24"/>
          <w:szCs w:val="24"/>
        </w:rPr>
        <w:t xml:space="preserve">What Every African &amp; Middle Eastern Business Owner Must Know</w:t>
      </w:r>
    </w:p>
    <w:p>
      <w:pPr>
        <w:spacing w:before="0" w:after="400"/>
      </w:pPr>
      <w:r>
        <w:rPr>
          <w:rFonts w:ascii="Arial" w:cs="Arial" w:eastAsia="Arial" w:hAnsi="Arial"/>
          <w:color w:val="666666"/>
          <w:sz w:val="18"/>
          <w:szCs w:val="18"/>
        </w:rPr>
        <w:t xml:space="preserve">Published by Dicalo Consulting Group  |  dicaloo.com  |  +971 55 153 8441</w:t>
      </w:r>
    </w:p>
    <w:p>
      <w:pPr>
        <w:pBdr>
          <w:bottom w:val="single" w:color="4B0082" w:sz="2"/>
        </w:pBdr>
        <w:spacing w:before="200" w:after="200"/>
      </w:pPr>
      <w:r>
        <w:t xml:space="preserve"/>
      </w:r>
    </w:p>
    <w:p>
      <w:pPr>
        <w:pStyle w:val="Heading2"/>
        <w:spacing w:before="320" w:after="160"/>
      </w:pPr>
      <w:r>
        <w:rPr>
          <w:rFonts w:ascii="Arial" w:cs="Arial" w:eastAsia="Arial" w:hAnsi="Arial"/>
          <w:b/>
          <w:bCs/>
          <w:color w:val="1A1A2E"/>
          <w:sz w:val="28"/>
          <w:szCs w:val="28"/>
        </w:rPr>
        <w:t xml:space="preserve">Introduction</w:t>
      </w:r>
    </w:p>
    <w:p>
      <w:pPr>
        <w:spacing w:before="100" w:after="160"/>
        <w:jc w:val="both"/>
      </w:pPr>
      <w:r>
        <w:rPr>
          <w:rFonts w:ascii="Arial" w:cs="Arial" w:eastAsia="Arial" w:hAnsi="Arial"/>
          <w:color w:val="1A1A2E"/>
          <w:sz w:val="22"/>
          <w:szCs w:val="22"/>
        </w:rPr>
        <w:t xml:space="preserve">Mention "offshore accounts" in a room full of Nigerian entrepreneurs, Ghanaian business owners, or Cameroonian investors, and you will almost certainly see one of two reactions: excitement — or fear.</w:t>
      </w:r>
    </w:p>
    <w:p>
      <w:pPr>
        <w:spacing w:before="100" w:after="160"/>
        <w:jc w:val="both"/>
      </w:pPr>
      <w:r>
        <w:rPr>
          <w:rFonts w:ascii="Arial" w:cs="Arial" w:eastAsia="Arial" w:hAnsi="Arial"/>
          <w:color w:val="1A1A2E"/>
          <w:sz w:val="22"/>
          <w:szCs w:val="22"/>
        </w:rPr>
        <w:t xml:space="preserve">The excitement comes from those who have heard it can save them money. The fear comes from those who associate the term with tax evasion, money laundering, or the kind of shadowy financial dealings they want nothing to do with.</w:t>
      </w:r>
    </w:p>
    <w:p>
      <w:pPr>
        <w:spacing w:before="100" w:after="160"/>
        <w:jc w:val="both"/>
      </w:pPr>
      <w:r>
        <w:rPr>
          <w:rFonts w:ascii="Arial" w:cs="Arial" w:eastAsia="Arial" w:hAnsi="Arial"/>
          <w:color w:val="1A1A2E"/>
          <w:sz w:val="22"/>
          <w:szCs w:val="22"/>
        </w:rPr>
        <w:t xml:space="preserve">Here is the truth that neither camp fully understands: offshore accounts, when set up correctly and legally, are one of the most powerful financial structuring tools available to growing businesses — and they are used every single day by companies of all sizes across the UAE, UK, Europe, and increasingly, across Africa.</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4B0082" w:sz="6"/>
              <w:left w:val="single" w:color="4B0082" w:sz="18"/>
              <w:bottom w:val="single" w:color="4B0082" w:sz="6"/>
              <w:right w:val="none"/>
            </w:tcBorders>
            <w:shd w:fill="F3EEF9" w:val="clear"/>
            <w:tcMar>
              <w:top w:type="dxa" w:w="120"/>
              <w:left w:type="dxa" w:w="200"/>
              <w:bottom w:type="dxa" w:w="120"/>
              <w:right w:type="dxa" w:w="200"/>
            </w:tcMar>
          </w:tcPr>
          <w:p>
            <w:pPr>
              <w:jc w:val="left"/>
            </w:pPr>
            <w:r>
              <w:rPr>
                <w:rFonts w:ascii="Arial" w:cs="Arial" w:eastAsia="Arial" w:hAnsi="Arial"/>
                <w:i/>
                <w:iCs/>
                <w:color w:val="1A1A2E"/>
                <w:sz w:val="22"/>
                <w:szCs w:val="22"/>
              </w:rPr>
              <w:t xml:space="preserve">At Dicalo Consulting Group, we help business owners across Nigeria, Ghana, Cameroon, Kenya, Uganda, Tanzania, Rwanda, the UAE, and beyond to structure their finances intelligently — legally, transparently, and strategically. This blog exists to demystify offshore accounts once and for all.</w:t>
            </w:r>
          </w:p>
        </w:tc>
      </w:tr>
    </w:tbl>
    <w:p>
      <w:pPr>
        <w:spacing w:before="80" w:after="80"/>
      </w:pPr>
      <w:r>
        <w:t xml:space="preserve"/>
      </w:r>
    </w:p>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1. What Is an Offshore Account — Really?</w:t>
      </w:r>
    </w:p>
    <w:p>
      <w:pPr>
        <w:spacing w:before="100" w:after="160"/>
        <w:jc w:val="both"/>
      </w:pPr>
      <w:r>
        <w:rPr>
          <w:rFonts w:ascii="Arial" w:cs="Arial" w:eastAsia="Arial" w:hAnsi="Arial"/>
          <w:color w:val="1A1A2E"/>
          <w:sz w:val="22"/>
          <w:szCs w:val="22"/>
        </w:rPr>
        <w:t xml:space="preserve">An offshore account is simply a bank account held in a country other than the one where you live or where your business is primarily registered. That is it. There is nothing inherently secretive, illegal, or suspicious about it.</w:t>
      </w:r>
    </w:p>
    <w:p>
      <w:pPr>
        <w:spacing w:before="100" w:after="160"/>
        <w:jc w:val="both"/>
      </w:pPr>
      <w:r>
        <w:rPr>
          <w:rFonts w:ascii="Arial" w:cs="Arial" w:eastAsia="Arial" w:hAnsi="Arial"/>
          <w:color w:val="1A1A2E"/>
          <w:sz w:val="22"/>
          <w:szCs w:val="22"/>
        </w:rPr>
        <w:t xml:space="preserve">If you are a Nigerian entrepreneur who opens a business account in Dubai to receive international payments — that is an offshore account. If you are a Cameroonian importer who holds a GBP account in the UK to pay European suppliers — that is an offshore account. If a Kenyan tech founder sets up a holding company in Mauritius to manage cross-border investments — that too involves offshore accounts.</w:t>
      </w:r>
    </w:p>
    <w:p>
      <w:pPr>
        <w:spacing w:before="100" w:after="160"/>
        <w:jc w:val="both"/>
      </w:pPr>
      <w:r>
        <w:rPr>
          <w:rFonts w:ascii="Arial" w:cs="Arial" w:eastAsia="Arial" w:hAnsi="Arial"/>
          <w:color w:val="1A1A2E"/>
          <w:sz w:val="22"/>
          <w:szCs w:val="22"/>
        </w:rPr>
        <w:t xml:space="preserve">These are everyday financial decisions made by smart, compliant business owners who understand that the global financial system rewards those who structure themselves correctly.</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4B0082" w:sz="6"/>
              <w:left w:val="single" w:color="4B0082" w:sz="18"/>
              <w:bottom w:val="single" w:color="4B0082" w:sz="6"/>
              <w:right w:val="none"/>
            </w:tcBorders>
            <w:shd w:fill="F3EEF9" w:val="clear"/>
            <w:tcMar>
              <w:top w:type="dxa" w:w="120"/>
              <w:left w:type="dxa" w:w="200"/>
              <w:bottom w:type="dxa" w:w="120"/>
              <w:right w:type="dxa" w:w="200"/>
            </w:tcMar>
          </w:tcPr>
          <w:p>
            <w:pPr>
              <w:jc w:val="left"/>
            </w:pPr>
            <w:r>
              <w:rPr>
                <w:rFonts w:ascii="Arial" w:cs="Arial" w:eastAsia="Arial" w:hAnsi="Arial"/>
                <w:i/>
                <w:iCs/>
                <w:color w:val="1A1A2E"/>
                <w:sz w:val="22"/>
                <w:szCs w:val="22"/>
              </w:rPr>
              <w:t xml:space="preserve">Offshore does not mean hidden. It simply means held outside your home country — often for very practical, very legal reasons.</w:t>
            </w:r>
          </w:p>
        </w:tc>
      </w:tr>
    </w:tbl>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2. The Myth vs. The Reality</w:t>
      </w:r>
    </w:p>
    <w:p>
      <w:pPr>
        <w:spacing w:before="100" w:after="160"/>
        <w:jc w:val="both"/>
      </w:pPr>
      <w:r>
        <w:rPr>
          <w:rFonts w:ascii="Arial" w:cs="Arial" w:eastAsia="Arial" w:hAnsi="Arial"/>
          <w:color w:val="1A1A2E"/>
          <w:sz w:val="22"/>
          <w:szCs w:val="22"/>
        </w:rPr>
        <w:t xml:space="preserve">Let us address the elephant in the room — the reason so many African business owners hesitate even when offshore structuring would genuinely benefit them.</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4B0082" w:val="clear"/>
            <w:tcMar>
              <w:top w:type="dxa" w:w="100"/>
              <w:left w:type="dxa" w:w="150"/>
              <w:bottom w:type="dxa" w:w="100"/>
              <w:right w:type="dxa" w:w="150"/>
            </w:tcMar>
          </w:tcPr>
          <w:p>
            <w:r>
              <w:rPr>
                <w:rFonts w:ascii="Arial" w:cs="Arial" w:eastAsia="Arial" w:hAnsi="Arial"/>
                <w:b/>
                <w:bCs/>
                <w:color w:val="FFFFFF"/>
                <w:sz w:val="22"/>
                <w:szCs w:val="22"/>
              </w:rPr>
              <w:t xml:space="preserve">THE MYTH</w:t>
            </w:r>
          </w:p>
        </w:tc>
        <w:tc>
          <w:tcPr>
            <w:tcW w:type="dxa" w:w="4680"/>
            <w:tcBorders>
              <w:top w:val="single" w:color="CCCCCC" w:sz="1"/>
              <w:left w:val="single" w:color="CCCCCC" w:sz="1"/>
              <w:bottom w:val="single" w:color="CCCCCC" w:sz="1"/>
              <w:right w:val="single" w:color="CCCCCC" w:sz="1"/>
            </w:tcBorders>
            <w:shd w:fill="4B0082" w:val="clear"/>
            <w:tcMar>
              <w:top w:type="dxa" w:w="100"/>
              <w:left w:type="dxa" w:w="150"/>
              <w:bottom w:type="dxa" w:w="100"/>
              <w:right w:type="dxa" w:w="150"/>
            </w:tcMar>
          </w:tcPr>
          <w:p>
            <w:r>
              <w:rPr>
                <w:rFonts w:ascii="Arial" w:cs="Arial" w:eastAsia="Arial" w:hAnsi="Arial"/>
                <w:b/>
                <w:bCs/>
                <w:color w:val="FFFFFF"/>
                <w:sz w:val="22"/>
                <w:szCs w:val="22"/>
              </w:rPr>
              <w:t xml:space="preserve">THE REALITY</w:t>
            </w:r>
          </w:p>
        </w:tc>
      </w:tr>
      <w:tr>
        <w:tc>
          <w:tcPr>
            <w:tcW w:type="dxa" w:w="4680"/>
            <w:tcBorders>
              <w:top w:val="single" w:color="CCCCCC" w:sz="1"/>
              <w:left w:val="single" w:color="CCCCCC" w:sz="1"/>
              <w:bottom w:val="single" w:color="CCCCCC" w:sz="1"/>
              <w:right w:val="single" w:color="CCCCCC" w:sz="1"/>
            </w:tcBorders>
            <w:shd w:fill="F3EEF9" w:val="clear"/>
            <w:tcMar>
              <w:top w:type="dxa" w:w="80"/>
              <w:left w:type="dxa" w:w="150"/>
              <w:bottom w:type="dxa" w:w="80"/>
              <w:right w:type="dxa" w:w="150"/>
            </w:tcMar>
          </w:tcPr>
          <w:p>
            <w:r>
              <w:rPr>
                <w:rFonts w:ascii="Arial" w:cs="Arial" w:eastAsia="Arial" w:hAnsi="Arial"/>
                <w:color w:val="1A1A2E"/>
                <w:sz w:val="20"/>
                <w:szCs w:val="20"/>
              </w:rPr>
              <w:t xml:space="preserve">Offshore accounts are for hiding money</w:t>
            </w:r>
          </w:p>
        </w:tc>
        <w:tc>
          <w:tcPr>
            <w:tcW w:type="dxa" w:w="4680"/>
            <w:tcBorders>
              <w:top w:val="single" w:color="CCCCCC" w:sz="1"/>
              <w:left w:val="single" w:color="CCCCCC" w:sz="1"/>
              <w:bottom w:val="single" w:color="CCCCCC" w:sz="1"/>
              <w:right w:val="single" w:color="CCCCCC" w:sz="1"/>
            </w:tcBorders>
            <w:shd w:fill="F3EEF9" w:val="clear"/>
            <w:tcMar>
              <w:top w:type="dxa" w:w="80"/>
              <w:left w:type="dxa" w:w="150"/>
              <w:bottom w:type="dxa" w:w="80"/>
              <w:right w:type="dxa" w:w="150"/>
            </w:tcMar>
          </w:tcPr>
          <w:p>
            <w:r>
              <w:rPr>
                <w:rFonts w:ascii="Arial" w:cs="Arial" w:eastAsia="Arial" w:hAnsi="Arial"/>
                <w:color w:val="1A1A2E"/>
                <w:sz w:val="20"/>
                <w:szCs w:val="20"/>
              </w:rPr>
              <w:t xml:space="preserve">They are for structuring and protecting money</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50"/>
              <w:bottom w:type="dxa" w:w="80"/>
              <w:right w:type="dxa" w:w="150"/>
            </w:tcMar>
          </w:tcPr>
          <w:p>
            <w:r>
              <w:rPr>
                <w:rFonts w:ascii="Arial" w:cs="Arial" w:eastAsia="Arial" w:hAnsi="Arial"/>
                <w:color w:val="1A1A2E"/>
                <w:sz w:val="20"/>
                <w:szCs w:val="20"/>
              </w:rPr>
              <w:t xml:space="preserve">Only criminals and corrupt politicians use them</w:t>
            </w:r>
          </w:p>
        </w:tc>
        <w:tc>
          <w:tcPr>
            <w:tcW w:type="dxa" w:w="4680"/>
            <w:tcBorders>
              <w:top w:val="single" w:color="CCCCCC" w:sz="1"/>
              <w:left w:val="single" w:color="CCCCCC" w:sz="1"/>
              <w:bottom w:val="single" w:color="CCCCCC" w:sz="1"/>
              <w:right w:val="single" w:color="CCCCCC" w:sz="1"/>
            </w:tcBorders>
            <w:shd w:fill="FFFFFF" w:val="clear"/>
            <w:tcMar>
              <w:top w:type="dxa" w:w="80"/>
              <w:left w:type="dxa" w:w="150"/>
              <w:bottom w:type="dxa" w:w="80"/>
              <w:right w:type="dxa" w:w="150"/>
            </w:tcMar>
          </w:tcPr>
          <w:p>
            <w:r>
              <w:rPr>
                <w:rFonts w:ascii="Arial" w:cs="Arial" w:eastAsia="Arial" w:hAnsi="Arial"/>
                <w:color w:val="1A1A2E"/>
                <w:sz w:val="20"/>
                <w:szCs w:val="20"/>
              </w:rPr>
              <w:t xml:space="preserve">Used by millions of compliant SMEs worldwide</w:t>
            </w:r>
          </w:p>
        </w:tc>
      </w:tr>
      <w:tr>
        <w:tc>
          <w:tcPr>
            <w:tcW w:type="dxa" w:w="4680"/>
            <w:tcBorders>
              <w:top w:val="single" w:color="CCCCCC" w:sz="1"/>
              <w:left w:val="single" w:color="CCCCCC" w:sz="1"/>
              <w:bottom w:val="single" w:color="CCCCCC" w:sz="1"/>
              <w:right w:val="single" w:color="CCCCCC" w:sz="1"/>
            </w:tcBorders>
            <w:shd w:fill="F3EEF9" w:val="clear"/>
            <w:tcMar>
              <w:top w:type="dxa" w:w="80"/>
              <w:left w:type="dxa" w:w="150"/>
              <w:bottom w:type="dxa" w:w="80"/>
              <w:right w:type="dxa" w:w="150"/>
            </w:tcMar>
          </w:tcPr>
          <w:p>
            <w:r>
              <w:rPr>
                <w:rFonts w:ascii="Arial" w:cs="Arial" w:eastAsia="Arial" w:hAnsi="Arial"/>
                <w:color w:val="1A1A2E"/>
                <w:sz w:val="20"/>
                <w:szCs w:val="20"/>
              </w:rPr>
              <w:t xml:space="preserve">They are illegal for African business owners</w:t>
            </w:r>
          </w:p>
        </w:tc>
        <w:tc>
          <w:tcPr>
            <w:tcW w:type="dxa" w:w="4680"/>
            <w:tcBorders>
              <w:top w:val="single" w:color="CCCCCC" w:sz="1"/>
              <w:left w:val="single" w:color="CCCCCC" w:sz="1"/>
              <w:bottom w:val="single" w:color="CCCCCC" w:sz="1"/>
              <w:right w:val="single" w:color="CCCCCC" w:sz="1"/>
            </w:tcBorders>
            <w:shd w:fill="F3EEF9" w:val="clear"/>
            <w:tcMar>
              <w:top w:type="dxa" w:w="80"/>
              <w:left w:type="dxa" w:w="150"/>
              <w:bottom w:type="dxa" w:w="80"/>
              <w:right w:type="dxa" w:w="150"/>
            </w:tcMar>
          </w:tcPr>
          <w:p>
            <w:r>
              <w:rPr>
                <w:rFonts w:ascii="Arial" w:cs="Arial" w:eastAsia="Arial" w:hAnsi="Arial"/>
                <w:color w:val="1A1A2E"/>
                <w:sz w:val="20"/>
                <w:szCs w:val="20"/>
              </w:rPr>
              <w:t xml:space="preserve">Completely legal when properly disclosed</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50"/>
              <w:bottom w:type="dxa" w:w="80"/>
              <w:right w:type="dxa" w:w="150"/>
            </w:tcMar>
          </w:tcPr>
          <w:p>
            <w:r>
              <w:rPr>
                <w:rFonts w:ascii="Arial" w:cs="Arial" w:eastAsia="Arial" w:hAnsi="Arial"/>
                <w:color w:val="1A1A2E"/>
                <w:sz w:val="20"/>
                <w:szCs w:val="20"/>
              </w:rPr>
              <w:t xml:space="preserve">You need to be ultra-wealthy to benefit</w:t>
            </w:r>
          </w:p>
        </w:tc>
        <w:tc>
          <w:tcPr>
            <w:tcW w:type="dxa" w:w="4680"/>
            <w:tcBorders>
              <w:top w:val="single" w:color="CCCCCC" w:sz="1"/>
              <w:left w:val="single" w:color="CCCCCC" w:sz="1"/>
              <w:bottom w:val="single" w:color="CCCCCC" w:sz="1"/>
              <w:right w:val="single" w:color="CCCCCC" w:sz="1"/>
            </w:tcBorders>
            <w:shd w:fill="FFFFFF" w:val="clear"/>
            <w:tcMar>
              <w:top w:type="dxa" w:w="80"/>
              <w:left w:type="dxa" w:w="150"/>
              <w:bottom w:type="dxa" w:w="80"/>
              <w:right w:type="dxa" w:w="150"/>
            </w:tcMar>
          </w:tcPr>
          <w:p>
            <w:r>
              <w:rPr>
                <w:rFonts w:ascii="Arial" w:cs="Arial" w:eastAsia="Arial" w:hAnsi="Arial"/>
                <w:color w:val="1A1A2E"/>
                <w:sz w:val="20"/>
                <w:szCs w:val="20"/>
              </w:rPr>
              <w:t xml:space="preserve">SMEs earning $100K+ can benefit significantly</w:t>
            </w:r>
          </w:p>
        </w:tc>
      </w:tr>
      <w:tr>
        <w:tc>
          <w:tcPr>
            <w:tcW w:type="dxa" w:w="4680"/>
            <w:tcBorders>
              <w:top w:val="single" w:color="CCCCCC" w:sz="1"/>
              <w:left w:val="single" w:color="CCCCCC" w:sz="1"/>
              <w:bottom w:val="single" w:color="CCCCCC" w:sz="1"/>
              <w:right w:val="single" w:color="CCCCCC" w:sz="1"/>
            </w:tcBorders>
            <w:shd w:fill="F3EEF9" w:val="clear"/>
            <w:tcMar>
              <w:top w:type="dxa" w:w="80"/>
              <w:left w:type="dxa" w:w="150"/>
              <w:bottom w:type="dxa" w:w="80"/>
              <w:right w:type="dxa" w:w="150"/>
            </w:tcMar>
          </w:tcPr>
          <w:p>
            <w:r>
              <w:rPr>
                <w:rFonts w:ascii="Arial" w:cs="Arial" w:eastAsia="Arial" w:hAnsi="Arial"/>
                <w:color w:val="1A1A2E"/>
                <w:sz w:val="20"/>
                <w:szCs w:val="20"/>
              </w:rPr>
              <w:t xml:space="preserve">Regulators will come after you</w:t>
            </w:r>
          </w:p>
        </w:tc>
        <w:tc>
          <w:tcPr>
            <w:tcW w:type="dxa" w:w="4680"/>
            <w:tcBorders>
              <w:top w:val="single" w:color="CCCCCC" w:sz="1"/>
              <w:left w:val="single" w:color="CCCCCC" w:sz="1"/>
              <w:bottom w:val="single" w:color="CCCCCC" w:sz="1"/>
              <w:right w:val="single" w:color="CCCCCC" w:sz="1"/>
            </w:tcBorders>
            <w:shd w:fill="F3EEF9" w:val="clear"/>
            <w:tcMar>
              <w:top w:type="dxa" w:w="80"/>
              <w:left w:type="dxa" w:w="150"/>
              <w:bottom w:type="dxa" w:w="80"/>
              <w:right w:type="dxa" w:w="150"/>
            </w:tcMar>
          </w:tcPr>
          <w:p>
            <w:r>
              <w:rPr>
                <w:rFonts w:ascii="Arial" w:cs="Arial" w:eastAsia="Arial" w:hAnsi="Arial"/>
                <w:color w:val="1A1A2E"/>
                <w:sz w:val="20"/>
                <w:szCs w:val="20"/>
              </w:rPr>
              <w:t xml:space="preserve">Regulators reward proper disclosure</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50"/>
              <w:bottom w:type="dxa" w:w="80"/>
              <w:right w:type="dxa" w:w="150"/>
            </w:tcMar>
          </w:tcPr>
          <w:p>
            <w:r>
              <w:rPr>
                <w:rFonts w:ascii="Arial" w:cs="Arial" w:eastAsia="Arial" w:hAnsi="Arial"/>
                <w:color w:val="1A1A2E"/>
                <w:sz w:val="20"/>
                <w:szCs w:val="20"/>
              </w:rPr>
              <w:t xml:space="preserve">It is too complicated to set up</w:t>
            </w:r>
          </w:p>
        </w:tc>
        <w:tc>
          <w:tcPr>
            <w:tcW w:type="dxa" w:w="4680"/>
            <w:tcBorders>
              <w:top w:val="single" w:color="CCCCCC" w:sz="1"/>
              <w:left w:val="single" w:color="CCCCCC" w:sz="1"/>
              <w:bottom w:val="single" w:color="CCCCCC" w:sz="1"/>
              <w:right w:val="single" w:color="CCCCCC" w:sz="1"/>
            </w:tcBorders>
            <w:shd w:fill="FFFFFF" w:val="clear"/>
            <w:tcMar>
              <w:top w:type="dxa" w:w="80"/>
              <w:left w:type="dxa" w:w="150"/>
              <w:bottom w:type="dxa" w:w="80"/>
              <w:right w:type="dxa" w:w="150"/>
            </w:tcMar>
          </w:tcPr>
          <w:p>
            <w:r>
              <w:rPr>
                <w:rFonts w:ascii="Arial" w:cs="Arial" w:eastAsia="Arial" w:hAnsi="Arial"/>
                <w:color w:val="1A1A2E"/>
                <w:sz w:val="20"/>
                <w:szCs w:val="20"/>
              </w:rPr>
              <w:t xml:space="preserve">With expert guidance, it is straightforward</w:t>
            </w:r>
          </w:p>
        </w:tc>
      </w:tr>
    </w:tbl>
    <w:p>
      <w:pPr>
        <w:spacing w:before="80" w:after="80"/>
      </w:pPr>
      <w:r>
        <w:t xml:space="preserve"/>
      </w:r>
    </w:p>
    <w:p>
      <w:pPr>
        <w:spacing w:before="100" w:after="160"/>
        <w:jc w:val="both"/>
      </w:pPr>
      <w:r>
        <w:rPr>
          <w:rFonts w:ascii="Arial" w:cs="Arial" w:eastAsia="Arial" w:hAnsi="Arial"/>
          <w:color w:val="1A1A2E"/>
          <w:sz w:val="22"/>
          <w:szCs w:val="22"/>
        </w:rPr>
        <w:t xml:space="preserve">The illegal version of offshore banking — deliberately hiding assets, evading taxes, falsifying records — is a criminal offense everywhere in the world. That is NOT what we are talking about. That is NOT what legitimate consultants help their clients do.</w:t>
      </w:r>
    </w:p>
    <w:p>
      <w:pPr>
        <w:spacing w:before="100" w:after="160"/>
        <w:jc w:val="both"/>
      </w:pPr>
      <w:r>
        <w:rPr>
          <w:rFonts w:ascii="Arial" w:cs="Arial" w:eastAsia="Arial" w:hAnsi="Arial"/>
          <w:color w:val="1A1A2E"/>
          <w:sz w:val="22"/>
          <w:szCs w:val="22"/>
        </w:rPr>
        <w:t xml:space="preserve">What we are talking about is strategic financial architecture: using legally recognized structures in transparent jurisdictions to optimize how your business operates across borders.</w:t>
      </w:r>
    </w:p>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3. Why African &amp; Middle Eastern Businesses Are Going Offshore</w:t>
      </w:r>
    </w:p>
    <w:p>
      <w:pPr>
        <w:spacing w:before="100" w:after="160"/>
        <w:jc w:val="both"/>
      </w:pPr>
      <w:r>
        <w:rPr>
          <w:rFonts w:ascii="Arial" w:cs="Arial" w:eastAsia="Arial" w:hAnsi="Arial"/>
          <w:color w:val="1A1A2E"/>
          <w:sz w:val="22"/>
          <w:szCs w:val="22"/>
        </w:rPr>
        <w:t xml:space="preserve">Across Nigeria, Ghana, Cameroon, Central Africa, East Africa, and the UAE, there are very specific, very practical reasons why businesses are increasingly looking at offshore structures. Here are the most common ones we see at DCG:</w:t>
      </w:r>
    </w:p>
    <w:p>
      <w:pPr>
        <w:spacing w:before="80" w:after="80"/>
      </w:pPr>
      <w:r>
        <w:t xml:space="preserve"/>
      </w:r>
    </w:p>
    <w:p>
      <w:pPr>
        <w:spacing w:before="240" w:after="120"/>
      </w:pPr>
      <w:r>
        <w:rPr>
          <w:rFonts w:ascii="Arial" w:cs="Arial" w:eastAsia="Arial" w:hAnsi="Arial"/>
          <w:b/>
          <w:bCs/>
          <w:color w:val="4B0082"/>
          <w:sz w:val="24"/>
          <w:szCs w:val="24"/>
        </w:rPr>
        <w:t xml:space="preserve">3a. Currency Instability</w:t>
      </w:r>
    </w:p>
    <w:p>
      <w:pPr>
        <w:spacing w:before="100" w:after="160"/>
        <w:jc w:val="both"/>
      </w:pPr>
      <w:r>
        <w:rPr>
          <w:rFonts w:ascii="Arial" w:cs="Arial" w:eastAsia="Arial" w:hAnsi="Arial"/>
          <w:color w:val="1A1A2E"/>
          <w:sz w:val="22"/>
          <w:szCs w:val="22"/>
        </w:rPr>
        <w:t xml:space="preserve">If you run a business in Nigeria, you do not need us to explain what the naira has done to purchasing power over the last three years. The same pressures affect the CFA franc in Cameroon and Chad, the Ghanaian cedi, and the Congolese franc.</w:t>
      </w:r>
    </w:p>
    <w:p>
      <w:pPr>
        <w:spacing w:before="100" w:after="160"/>
        <w:jc w:val="both"/>
      </w:pPr>
      <w:r>
        <w:rPr>
          <w:rFonts w:ascii="Arial" w:cs="Arial" w:eastAsia="Arial" w:hAnsi="Arial"/>
          <w:color w:val="1A1A2E"/>
          <w:sz w:val="22"/>
          <w:szCs w:val="22"/>
        </w:rPr>
        <w:t xml:space="preserve">Holding a portion of your business profits in USD, GBP, EUR, or AED in an offshore account is not tax evasion — it is basic treasury management. It protects your hard-earned revenue from devaluation and preserves real value over time.</w:t>
      </w:r>
    </w:p>
    <w:p>
      <w:pPr>
        <w:spacing w:before="80" w:after="80"/>
      </w:pPr>
      <w:r>
        <w:t xml:space="preserve"/>
      </w:r>
    </w:p>
    <w:p>
      <w:pPr>
        <w:spacing w:before="240" w:after="120"/>
      </w:pPr>
      <w:r>
        <w:rPr>
          <w:rFonts w:ascii="Arial" w:cs="Arial" w:eastAsia="Arial" w:hAnsi="Arial"/>
          <w:b/>
          <w:bCs/>
          <w:color w:val="4B0082"/>
          <w:sz w:val="24"/>
          <w:szCs w:val="24"/>
        </w:rPr>
        <w:t xml:space="preserve">3b. International Payment Barriers</w:t>
      </w:r>
    </w:p>
    <w:p>
      <w:pPr>
        <w:spacing w:before="100" w:after="160"/>
        <w:jc w:val="both"/>
      </w:pPr>
      <w:r>
        <w:rPr>
          <w:rFonts w:ascii="Arial" w:cs="Arial" w:eastAsia="Arial" w:hAnsi="Arial"/>
          <w:color w:val="1A1A2E"/>
          <w:sz w:val="22"/>
          <w:szCs w:val="22"/>
        </w:rPr>
        <w:t xml:space="preserve">Try paying a European supplier from a Nigerian bank account. Or receiving a large USD wire from a US client into a Cameroonian account. You will quickly discover why so many African businesses struggle to grow internationally despite having excellent products and services.</w:t>
      </w:r>
    </w:p>
    <w:p>
      <w:pPr>
        <w:spacing w:before="100" w:after="160"/>
        <w:jc w:val="both"/>
      </w:pPr>
      <w:r>
        <w:rPr>
          <w:rFonts w:ascii="Arial" w:cs="Arial" w:eastAsia="Arial" w:hAnsi="Arial"/>
          <w:color w:val="1A1A2E"/>
          <w:sz w:val="22"/>
          <w:szCs w:val="22"/>
        </w:rPr>
        <w:t xml:space="preserve">An offshore business account in the UAE, UK, or Mauritius dramatically simplifies international transactions — lower fees, faster transfers, no forex bureaucracy.</w:t>
      </w:r>
    </w:p>
    <w:p>
      <w:pPr>
        <w:spacing w:before="80" w:after="80"/>
      </w:pPr>
      <w:r>
        <w:t xml:space="preserve"/>
      </w:r>
    </w:p>
    <w:p>
      <w:pPr>
        <w:spacing w:before="240" w:after="120"/>
      </w:pPr>
      <w:r>
        <w:rPr>
          <w:rFonts w:ascii="Arial" w:cs="Arial" w:eastAsia="Arial" w:hAnsi="Arial"/>
          <w:b/>
          <w:bCs/>
          <w:color w:val="4B0082"/>
          <w:sz w:val="24"/>
          <w:szCs w:val="24"/>
        </w:rPr>
        <w:t xml:space="preserve">3c. Access to International Credit &amp; Financing</w:t>
      </w:r>
    </w:p>
    <w:p>
      <w:pPr>
        <w:spacing w:before="100" w:after="160"/>
        <w:jc w:val="both"/>
      </w:pPr>
      <w:r>
        <w:rPr>
          <w:rFonts w:ascii="Arial" w:cs="Arial" w:eastAsia="Arial" w:hAnsi="Arial"/>
          <w:color w:val="1A1A2E"/>
          <w:sz w:val="22"/>
          <w:szCs w:val="22"/>
        </w:rPr>
        <w:t xml:space="preserve">International lenders and investors do not lend to African businesses through African bank accounts — in most cases. A well-structured offshore entity with clean financial records in a reputable jurisdiction opens doors to international financing, venture capital, trade credit, and banking facilities that simply do not exist locally.</w:t>
      </w:r>
    </w:p>
    <w:p>
      <w:pPr>
        <w:spacing w:before="100" w:after="160"/>
        <w:jc w:val="both"/>
      </w:pPr>
      <w:r>
        <w:rPr>
          <w:rFonts w:ascii="Arial" w:cs="Arial" w:eastAsia="Arial" w:hAnsi="Arial"/>
          <w:color w:val="1A1A2E"/>
          <w:sz w:val="22"/>
          <w:szCs w:val="22"/>
        </w:rPr>
        <w:t xml:space="preserve">We have helped clients in Lagos, Accra, Nairobi, and Douala access financing from international institutions after establishing proper offshore structures — financing that transformed their businesses.</w:t>
      </w:r>
    </w:p>
    <w:p>
      <w:pPr>
        <w:spacing w:before="80" w:after="80"/>
      </w:pPr>
      <w:r>
        <w:t xml:space="preserve"/>
      </w:r>
    </w:p>
    <w:p>
      <w:pPr>
        <w:spacing w:before="240" w:after="120"/>
      </w:pPr>
      <w:r>
        <w:rPr>
          <w:rFonts w:ascii="Arial" w:cs="Arial" w:eastAsia="Arial" w:hAnsi="Arial"/>
          <w:b/>
          <w:bCs/>
          <w:color w:val="4B0082"/>
          <w:sz w:val="24"/>
          <w:szCs w:val="24"/>
        </w:rPr>
        <w:t xml:space="preserve">3d. Tax Efficiency — Legal and Transparent</w:t>
      </w:r>
    </w:p>
    <w:p>
      <w:pPr>
        <w:spacing w:before="100" w:after="160"/>
        <w:jc w:val="both"/>
      </w:pPr>
      <w:r>
        <w:rPr>
          <w:rFonts w:ascii="Arial" w:cs="Arial" w:eastAsia="Arial" w:hAnsi="Arial"/>
          <w:color w:val="1A1A2E"/>
          <w:sz w:val="22"/>
          <w:szCs w:val="22"/>
        </w:rPr>
        <w:t xml:space="preserve">The UAE has a 9% corporate tax rate. Mauritius has some of the most competitive treaty rates in the world. The UK has specific structures favorable for holding companies. These are not secrets — they are publicly available legal frameworks designed to attract international business.</w:t>
      </w:r>
    </w:p>
    <w:p>
      <w:pPr>
        <w:spacing w:before="100" w:after="160"/>
        <w:jc w:val="both"/>
      </w:pPr>
      <w:r>
        <w:rPr>
          <w:rFonts w:ascii="Arial" w:cs="Arial" w:eastAsia="Arial" w:hAnsi="Arial"/>
          <w:color w:val="1A1A2E"/>
          <w:sz w:val="22"/>
          <w:szCs w:val="22"/>
        </w:rPr>
        <w:t xml:space="preserve">Using a UAE free zone company as a holding entity for your African operations is not illegal. Routing your international revenue through a jurisdiction with a favorable tax treaty is not illegal. Doing it without properly disclosing it to your home country tax authority — that is where things can go wrong.</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4B0082" w:sz="6"/>
              <w:left w:val="single" w:color="4B0082" w:sz="18"/>
              <w:bottom w:val="single" w:color="4B0082" w:sz="6"/>
              <w:right w:val="none"/>
            </w:tcBorders>
            <w:shd w:fill="F3EEF9" w:val="clear"/>
            <w:tcMar>
              <w:top w:type="dxa" w:w="120"/>
              <w:left w:type="dxa" w:w="200"/>
              <w:bottom w:type="dxa" w:w="120"/>
              <w:right w:type="dxa" w:w="200"/>
            </w:tcMar>
          </w:tcPr>
          <w:p>
            <w:pPr>
              <w:jc w:val="left"/>
            </w:pPr>
            <w:r>
              <w:rPr>
                <w:rFonts w:ascii="Arial" w:cs="Arial" w:eastAsia="Arial" w:hAnsi="Arial"/>
                <w:i/>
                <w:iCs/>
                <w:color w:val="1A1A2E"/>
                <w:sz w:val="22"/>
                <w:szCs w:val="22"/>
              </w:rPr>
              <w:t xml:space="preserve">Tax efficiency is legal. Tax evasion is not. The line between them is disclosure — and that is exactly where a qualified consultant earns their fee.</w:t>
            </w:r>
          </w:p>
        </w:tc>
      </w:tr>
    </w:tbl>
    <w:p>
      <w:pPr>
        <w:spacing w:before="80" w:after="80"/>
      </w:pPr>
      <w:r>
        <w:t xml:space="preserve"/>
      </w:r>
    </w:p>
    <w:p>
      <w:pPr>
        <w:spacing w:before="240" w:after="120"/>
      </w:pPr>
      <w:r>
        <w:rPr>
          <w:rFonts w:ascii="Arial" w:cs="Arial" w:eastAsia="Arial" w:hAnsi="Arial"/>
          <w:b/>
          <w:bCs/>
          <w:color w:val="4B0082"/>
          <w:sz w:val="24"/>
          <w:szCs w:val="24"/>
        </w:rPr>
        <w:t xml:space="preserve">3e. Asset Protection</w:t>
      </w:r>
    </w:p>
    <w:p>
      <w:pPr>
        <w:spacing w:before="100" w:after="160"/>
        <w:jc w:val="both"/>
      </w:pPr>
      <w:r>
        <w:rPr>
          <w:rFonts w:ascii="Arial" w:cs="Arial" w:eastAsia="Arial" w:hAnsi="Arial"/>
          <w:color w:val="1A1A2E"/>
          <w:sz w:val="22"/>
          <w:szCs w:val="22"/>
        </w:rPr>
        <w:t xml:space="preserve">In markets where legal systems are unpredictable, political risk is real, or business disputes can freeze local accounts, holding certain assets offshore provides a layer of protection. This is not paranoia — it is prudent financial management practiced by businesses everywhere in the world.</w:t>
      </w:r>
    </w:p>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4. Popular Offshore Jurisdictions for African Businesses</w:t>
      </w:r>
    </w:p>
    <w:p>
      <w:pPr>
        <w:spacing w:before="100" w:after="160"/>
        <w:jc w:val="both"/>
      </w:pPr>
      <w:r>
        <w:rPr>
          <w:rFonts w:ascii="Arial" w:cs="Arial" w:eastAsia="Arial" w:hAnsi="Arial"/>
          <w:color w:val="1A1A2E"/>
          <w:sz w:val="22"/>
          <w:szCs w:val="22"/>
        </w:rPr>
        <w:t xml:space="preserve">Not all offshore jurisdictions are created equal. The right jurisdiction for your business depends on your industry, home country, the countries you trade with, and your specific financial goals.</w:t>
      </w:r>
    </w:p>
    <w:p>
      <w:pPr>
        <w:spacing w:before="80" w:after="80"/>
      </w:pPr>
      <w:r>
        <w:t xml:space="preserve"/>
      </w:r>
    </w:p>
    <w:p>
      <w:pPr>
        <w:spacing w:before="240" w:after="120"/>
      </w:pPr>
      <w:r>
        <w:rPr>
          <w:rFonts w:ascii="Arial" w:cs="Arial" w:eastAsia="Arial" w:hAnsi="Arial"/>
          <w:b/>
          <w:bCs/>
          <w:color w:val="4B0082"/>
          <w:sz w:val="24"/>
          <w:szCs w:val="24"/>
        </w:rPr>
        <w:t xml:space="preserve">United Arab Emirates (Dubai &amp; Abu Dhabi Free Zones)</w:t>
      </w:r>
    </w:p>
    <w:p>
      <w:pPr>
        <w:spacing w:before="100" w:after="160"/>
        <w:jc w:val="both"/>
      </w:pPr>
      <w:r>
        <w:rPr>
          <w:rFonts w:ascii="Arial" w:cs="Arial" w:eastAsia="Arial" w:hAnsi="Arial"/>
          <w:color w:val="1A1A2E"/>
          <w:sz w:val="22"/>
          <w:szCs w:val="22"/>
        </w:rPr>
        <w:t xml:space="preserve">This is the most popular offshore destination for African business owners right now — and for very good reason. UAE free zones offer 100% foreign ownership, 0% personal income tax, 9% corporate tax (with many SME exemptions), world-class banking infrastructure, and a strategic location between Africa, Asia, and Europe.</w:t>
      </w:r>
    </w:p>
    <w:p>
      <w:pPr>
        <w:spacing w:before="100" w:after="160"/>
        <w:jc w:val="both"/>
      </w:pPr>
      <w:r>
        <w:rPr>
          <w:rFonts w:ascii="Arial" w:cs="Arial" w:eastAsia="Arial" w:hAnsi="Arial"/>
          <w:color w:val="1A1A2E"/>
          <w:sz w:val="22"/>
          <w:szCs w:val="22"/>
        </w:rPr>
        <w:t xml:space="preserve">Whether you are in Lagos, Accra, Nairobi, Douala, or Kinshasa, a UAE entity gives your business instant international credibility and access to global banking. DCG has helped over 200 African businesses establish UAE entities.</w:t>
      </w:r>
    </w:p>
    <w:p>
      <w:pPr>
        <w:spacing w:before="80" w:after="80"/>
      </w:pPr>
      <w:r>
        <w:t xml:space="preserve"/>
      </w:r>
    </w:p>
    <w:p>
      <w:pPr>
        <w:spacing w:before="240" w:after="120"/>
      </w:pPr>
      <w:r>
        <w:rPr>
          <w:rFonts w:ascii="Arial" w:cs="Arial" w:eastAsia="Arial" w:hAnsi="Arial"/>
          <w:b/>
          <w:bCs/>
          <w:color w:val="4B0082"/>
          <w:sz w:val="24"/>
          <w:szCs w:val="24"/>
        </w:rPr>
        <w:t xml:space="preserve">Mauritius</w:t>
      </w:r>
    </w:p>
    <w:p>
      <w:pPr>
        <w:spacing w:before="100" w:after="160"/>
        <w:jc w:val="both"/>
      </w:pPr>
      <w:r>
        <w:rPr>
          <w:rFonts w:ascii="Arial" w:cs="Arial" w:eastAsia="Arial" w:hAnsi="Arial"/>
          <w:color w:val="1A1A2E"/>
          <w:sz w:val="22"/>
          <w:szCs w:val="22"/>
        </w:rPr>
        <w:t xml:space="preserve">For businesses with significant East and Southern African operations, Mauritius is often the smartest choice. It has double tax treaties with Kenya, Uganda, Mozambique, Zimbabwe, and many other African nations, making it ideal for holding companies managing African investments. A Mauritian Global Business Company (GBC) can legally reduce withholding tax on dividends from many African subsidiaries.</w:t>
      </w:r>
    </w:p>
    <w:p>
      <w:pPr>
        <w:spacing w:before="80" w:after="80"/>
      </w:pPr>
      <w:r>
        <w:t xml:space="preserve"/>
      </w:r>
    </w:p>
    <w:p>
      <w:pPr>
        <w:spacing w:before="240" w:after="120"/>
      </w:pPr>
      <w:r>
        <w:rPr>
          <w:rFonts w:ascii="Arial" w:cs="Arial" w:eastAsia="Arial" w:hAnsi="Arial"/>
          <w:b/>
          <w:bCs/>
          <w:color w:val="4B0082"/>
          <w:sz w:val="24"/>
          <w:szCs w:val="24"/>
        </w:rPr>
        <w:t xml:space="preserve">United Kingdom</w:t>
      </w:r>
    </w:p>
    <w:p>
      <w:pPr>
        <w:spacing w:before="100" w:after="160"/>
        <w:jc w:val="both"/>
      </w:pPr>
      <w:r>
        <w:rPr>
          <w:rFonts w:ascii="Arial" w:cs="Arial" w:eastAsia="Arial" w:hAnsi="Arial"/>
          <w:color w:val="1A1A2E"/>
          <w:sz w:val="22"/>
          <w:szCs w:val="22"/>
        </w:rPr>
        <w:t xml:space="preserve">For Nigerian, Ghanaian, and Cameroonian businesses with UK or European clients, a UK Limited Company provides credibility, access to UK banking, and a familiar legal system based on English common law. UK companies are also useful for businesses seeking investment from European or US-based funds.</w:t>
      </w:r>
    </w:p>
    <w:p>
      <w:pPr>
        <w:spacing w:before="80" w:after="80"/>
      </w:pPr>
      <w:r>
        <w:t xml:space="preserve"/>
      </w:r>
    </w:p>
    <w:p>
      <w:pPr>
        <w:spacing w:before="240" w:after="120"/>
      </w:pPr>
      <w:r>
        <w:rPr>
          <w:rFonts w:ascii="Arial" w:cs="Arial" w:eastAsia="Arial" w:hAnsi="Arial"/>
          <w:b/>
          <w:bCs/>
          <w:color w:val="4B0082"/>
          <w:sz w:val="24"/>
          <w:szCs w:val="24"/>
        </w:rPr>
        <w:t xml:space="preserve">Rwanda</w:t>
      </w:r>
    </w:p>
    <w:p>
      <w:pPr>
        <w:spacing w:before="100" w:after="160"/>
        <w:jc w:val="both"/>
      </w:pPr>
      <w:r>
        <w:rPr>
          <w:rFonts w:ascii="Arial" w:cs="Arial" w:eastAsia="Arial" w:hAnsi="Arial"/>
          <w:color w:val="1A1A2E"/>
          <w:sz w:val="22"/>
          <w:szCs w:val="22"/>
        </w:rPr>
        <w:t xml:space="preserve">Often overlooked, Rwanda has emerged as one of Africa's most business-friendly environments with transparent regulation, strong governance, and growing regional influence within the EAC. For businesses operating across Central and East Africa, a Rwandan entity can serve as a regional hub.</w:t>
      </w:r>
    </w:p>
    <w:p>
      <w:pPr>
        <w:spacing w:before="80" w:after="80"/>
      </w:pPr>
      <w:r>
        <w:t xml:space="preserve"/>
      </w:r>
    </w:p>
    <w:p>
      <w:pPr>
        <w:spacing w:before="240" w:after="120"/>
      </w:pPr>
      <w:r>
        <w:rPr>
          <w:rFonts w:ascii="Arial" w:cs="Arial" w:eastAsia="Arial" w:hAnsi="Arial"/>
          <w:b/>
          <w:bCs/>
          <w:color w:val="4B0082"/>
          <w:sz w:val="24"/>
          <w:szCs w:val="24"/>
        </w:rPr>
        <w:t xml:space="preserve">Ghana</w:t>
      </w:r>
    </w:p>
    <w:p>
      <w:pPr>
        <w:spacing w:before="100" w:after="160"/>
        <w:jc w:val="both"/>
      </w:pPr>
      <w:r>
        <w:rPr>
          <w:rFonts w:ascii="Arial" w:cs="Arial" w:eastAsia="Arial" w:hAnsi="Arial"/>
          <w:color w:val="1A1A2E"/>
          <w:sz w:val="22"/>
          <w:szCs w:val="22"/>
        </w:rPr>
        <w:t xml:space="preserve">For West African businesses seeking a politically stable, ECOWAS-connected base, Ghana offers a solid regulatory environment and growing financial services sector. While not traditionally considered "offshore," Ghana's regulatory clarity makes it an attractive second base for Nigerian businesses in particular.</w:t>
      </w:r>
    </w:p>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5. The Critical Role of Compliance &amp; Disclosure</w:t>
      </w:r>
    </w:p>
    <w:p>
      <w:pPr>
        <w:spacing w:before="100" w:after="160"/>
        <w:jc w:val="both"/>
      </w:pPr>
      <w:r>
        <w:rPr>
          <w:rFonts w:ascii="Arial" w:cs="Arial" w:eastAsia="Arial" w:hAnsi="Arial"/>
          <w:color w:val="1A1A2E"/>
          <w:sz w:val="22"/>
          <w:szCs w:val="22"/>
        </w:rPr>
        <w:t xml:space="preserve">This section is perhaps the most important in this entire piece. It is what separates legitimate offshore structuring from illegal activity — and it is where most business owners make costly mistakes when they try to go it alone.</w:t>
      </w:r>
    </w:p>
    <w:p>
      <w:pPr>
        <w:spacing w:before="80" w:after="80"/>
      </w:pPr>
      <w:r>
        <w:t xml:space="preserve"/>
      </w:r>
    </w:p>
    <w:p>
      <w:pPr>
        <w:spacing w:before="100" w:after="160"/>
        <w:jc w:val="both"/>
      </w:pPr>
      <w:r>
        <w:rPr>
          <w:rFonts w:ascii="Arial" w:cs="Arial" w:eastAsia="Arial" w:hAnsi="Arial"/>
          <w:color w:val="1A1A2E"/>
          <w:sz w:val="22"/>
          <w:szCs w:val="22"/>
        </w:rPr>
        <w:t xml:space="preserve">Every major tax authority in the world — including FIRS in Nigeria, GRA in Ghana, DGI in Cameroon, KRA in Kenya, and the FTA in the UAE — requires residents and entities to disclose their foreign accounts and structures. Failure to do so is not just risky — it can be criminal.</w:t>
      </w:r>
    </w:p>
    <w:p>
      <w:pPr>
        <w:spacing w:before="80" w:after="80"/>
      </w:pPr>
      <w:r>
        <w:t xml:space="preserve"/>
      </w:r>
    </w:p>
    <w:p>
      <w:pPr>
        <w:spacing w:before="240" w:after="120"/>
      </w:pPr>
      <w:r>
        <w:rPr>
          <w:rFonts w:ascii="Arial" w:cs="Arial" w:eastAsia="Arial" w:hAnsi="Arial"/>
          <w:b/>
          <w:bCs/>
          <w:color w:val="4B0082"/>
          <w:sz w:val="24"/>
          <w:szCs w:val="24"/>
        </w:rPr>
        <w:t xml:space="preserve">What Proper Compliance Looks Like:</w:t>
      </w:r>
    </w:p>
    <w:p>
      <w:pPr>
        <w:pStyle w:val="ListParagraph"/>
        <w:numPr>
          <w:ilvl w:val="0"/>
          <w:numId w:val="2"/>
        </w:numPr>
        <w:spacing w:before="60" w:after="60"/>
      </w:pPr>
      <w:r>
        <w:rPr>
          <w:rFonts w:ascii="Arial" w:cs="Arial" w:eastAsia="Arial" w:hAnsi="Arial"/>
          <w:b w:val="false"/>
          <w:bCs w:val="false"/>
          <w:color w:val="1A1A2E"/>
          <w:sz w:val="22"/>
          <w:szCs w:val="22"/>
        </w:rPr>
        <w:t xml:space="preserve">Full disclosure of all offshore accounts and entities to your home country tax authority</w:t>
      </w:r>
    </w:p>
    <w:p>
      <w:pPr>
        <w:pStyle w:val="ListParagraph"/>
        <w:numPr>
          <w:ilvl w:val="0"/>
          <w:numId w:val="2"/>
        </w:numPr>
        <w:spacing w:before="60" w:after="60"/>
      </w:pPr>
      <w:r>
        <w:rPr>
          <w:rFonts w:ascii="Arial" w:cs="Arial" w:eastAsia="Arial" w:hAnsi="Arial"/>
          <w:b w:val="false"/>
          <w:bCs w:val="false"/>
          <w:color w:val="1A1A2E"/>
          <w:sz w:val="22"/>
          <w:szCs w:val="22"/>
        </w:rPr>
        <w:t xml:space="preserve">Accurate reporting of foreign income on your domestic tax returns</w:t>
      </w:r>
    </w:p>
    <w:p>
      <w:pPr>
        <w:pStyle w:val="ListParagraph"/>
        <w:numPr>
          <w:ilvl w:val="0"/>
          <w:numId w:val="2"/>
        </w:numPr>
        <w:spacing w:before="60" w:after="60"/>
      </w:pPr>
      <w:r>
        <w:rPr>
          <w:rFonts w:ascii="Arial" w:cs="Arial" w:eastAsia="Arial" w:hAnsi="Arial"/>
          <w:b w:val="false"/>
          <w:bCs w:val="false"/>
          <w:color w:val="1A1A2E"/>
          <w:sz w:val="22"/>
          <w:szCs w:val="22"/>
        </w:rPr>
        <w:t xml:space="preserve">Proper transfer pricing documentation if your offshore and local entities transact with each other</w:t>
      </w:r>
    </w:p>
    <w:p>
      <w:pPr>
        <w:pStyle w:val="ListParagraph"/>
        <w:numPr>
          <w:ilvl w:val="0"/>
          <w:numId w:val="2"/>
        </w:numPr>
        <w:spacing w:before="60" w:after="60"/>
      </w:pPr>
      <w:r>
        <w:rPr>
          <w:rFonts w:ascii="Arial" w:cs="Arial" w:eastAsia="Arial" w:hAnsi="Arial"/>
          <w:b w:val="false"/>
          <w:bCs w:val="false"/>
          <w:color w:val="1A1A2E"/>
          <w:sz w:val="22"/>
          <w:szCs w:val="22"/>
        </w:rPr>
        <w:t xml:space="preserve">Substance requirements — your offshore entity must have genuine business activity, not just exist on paper</w:t>
      </w:r>
    </w:p>
    <w:p>
      <w:pPr>
        <w:pStyle w:val="ListParagraph"/>
        <w:numPr>
          <w:ilvl w:val="0"/>
          <w:numId w:val="2"/>
        </w:numPr>
        <w:spacing w:before="60" w:after="60"/>
      </w:pPr>
      <w:r>
        <w:rPr>
          <w:rFonts w:ascii="Arial" w:cs="Arial" w:eastAsia="Arial" w:hAnsi="Arial"/>
          <w:b w:val="false"/>
          <w:bCs w:val="false"/>
          <w:color w:val="1A1A2E"/>
          <w:sz w:val="22"/>
          <w:szCs w:val="22"/>
        </w:rPr>
        <w:t xml:space="preserve">Annual filing and renewal of your offshore entity in accordance with local laws</w:t>
      </w:r>
    </w:p>
    <w:p>
      <w:pPr>
        <w:pStyle w:val="ListParagraph"/>
        <w:numPr>
          <w:ilvl w:val="0"/>
          <w:numId w:val="2"/>
        </w:numPr>
        <w:spacing w:before="60" w:after="60"/>
      </w:pPr>
      <w:r>
        <w:rPr>
          <w:rFonts w:ascii="Arial" w:cs="Arial" w:eastAsia="Arial" w:hAnsi="Arial"/>
          <w:b w:val="false"/>
          <w:bCs w:val="false"/>
          <w:color w:val="1A1A2E"/>
          <w:sz w:val="22"/>
          <w:szCs w:val="22"/>
        </w:rPr>
        <w:t xml:space="preserve">Anti-money laundering (AML) compliance in all jurisdictions where you operate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4B0082" w:sz="6"/>
              <w:left w:val="single" w:color="4B0082" w:sz="18"/>
              <w:bottom w:val="single" w:color="4B0082" w:sz="6"/>
              <w:right w:val="none"/>
            </w:tcBorders>
            <w:shd w:fill="F3EEF9" w:val="clear"/>
            <w:tcMar>
              <w:top w:type="dxa" w:w="120"/>
              <w:left w:type="dxa" w:w="200"/>
              <w:bottom w:type="dxa" w:w="120"/>
              <w:right w:type="dxa" w:w="200"/>
            </w:tcMar>
          </w:tcPr>
          <w:p>
            <w:pPr>
              <w:jc w:val="left"/>
            </w:pPr>
            <w:r>
              <w:rPr>
                <w:rFonts w:ascii="Arial" w:cs="Arial" w:eastAsia="Arial" w:hAnsi="Arial"/>
                <w:i/>
                <w:iCs/>
                <w:color w:val="1A1A2E"/>
                <w:sz w:val="22"/>
                <w:szCs w:val="22"/>
              </w:rPr>
              <w:t xml:space="preserve">The global standard today is transparency — not secrecy. The OECD Common Reporting Standard (CRS) means that tax authorities around the world now automatically share information about foreign account holders. If you have an undisclosed offshore account, the likelihood of it being discovered is higher than ever before. Proper disclosure is not just the right thing to do — it is the only sustainable strategy.</w:t>
            </w:r>
          </w:p>
        </w:tc>
      </w:tr>
    </w:tbl>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6. Who Should Consider Offshore Structuring?</w:t>
      </w:r>
    </w:p>
    <w:p>
      <w:pPr>
        <w:spacing w:before="100" w:after="160"/>
        <w:jc w:val="both"/>
      </w:pPr>
      <w:r>
        <w:rPr>
          <w:rFonts w:ascii="Arial" w:cs="Arial" w:eastAsia="Arial" w:hAnsi="Arial"/>
          <w:color w:val="1A1A2E"/>
          <w:sz w:val="22"/>
          <w:szCs w:val="22"/>
        </w:rPr>
        <w:t xml:space="preserve">Offshore structuring is not for everyone. But if any of the following describes you, it is worth a serious conversation with our consultants:</w:t>
      </w:r>
    </w:p>
    <w:p>
      <w:pPr>
        <w:spacing w:before="80" w:after="80"/>
      </w:pPr>
      <w:r>
        <w:t xml:space="preserve"/>
      </w:r>
    </w:p>
    <w:p>
      <w:pPr>
        <w:pStyle w:val="ListParagraph"/>
        <w:numPr>
          <w:ilvl w:val="0"/>
          <w:numId w:val="2"/>
        </w:numPr>
        <w:spacing w:before="60" w:after="60"/>
      </w:pPr>
      <w:r>
        <w:rPr>
          <w:rFonts w:ascii="Arial" w:cs="Arial" w:eastAsia="Arial" w:hAnsi="Arial"/>
          <w:b/>
          <w:bCs/>
          <w:color w:val="1A1A2E"/>
          <w:sz w:val="22"/>
          <w:szCs w:val="22"/>
        </w:rPr>
        <w:t xml:space="preserve">You operate across more than one African country and struggle with cross-border payments</w:t>
      </w:r>
    </w:p>
    <w:p>
      <w:pPr>
        <w:pStyle w:val="ListParagraph"/>
        <w:numPr>
          <w:ilvl w:val="0"/>
          <w:numId w:val="2"/>
        </w:numPr>
        <w:spacing w:before="60" w:after="60"/>
      </w:pPr>
      <w:r>
        <w:rPr>
          <w:rFonts w:ascii="Arial" w:cs="Arial" w:eastAsia="Arial" w:hAnsi="Arial"/>
          <w:b/>
          <w:bCs/>
          <w:color w:val="1A1A2E"/>
          <w:sz w:val="22"/>
          <w:szCs w:val="22"/>
        </w:rPr>
        <w:t xml:space="preserve">You earn revenue in USD, GBP, or EUR but are forced to receive it in a volatile local currency</w:t>
      </w:r>
    </w:p>
    <w:p>
      <w:pPr>
        <w:pStyle w:val="ListParagraph"/>
        <w:numPr>
          <w:ilvl w:val="0"/>
          <w:numId w:val="2"/>
        </w:numPr>
        <w:spacing w:before="60" w:after="60"/>
      </w:pPr>
      <w:r>
        <w:rPr>
          <w:rFonts w:ascii="Arial" w:cs="Arial" w:eastAsia="Arial" w:hAnsi="Arial"/>
          <w:b/>
          <w:bCs/>
          <w:color w:val="1A1A2E"/>
          <w:sz w:val="22"/>
          <w:szCs w:val="22"/>
        </w:rPr>
        <w:t xml:space="preserve">You are seeking international investment and need a credible, internationally recognized entity structure</w:t>
      </w:r>
    </w:p>
    <w:p>
      <w:pPr>
        <w:pStyle w:val="ListParagraph"/>
        <w:numPr>
          <w:ilvl w:val="0"/>
          <w:numId w:val="2"/>
        </w:numPr>
        <w:spacing w:before="60" w:after="60"/>
      </w:pPr>
      <w:r>
        <w:rPr>
          <w:rFonts w:ascii="Arial" w:cs="Arial" w:eastAsia="Arial" w:hAnsi="Arial"/>
          <w:b/>
          <w:bCs/>
          <w:color w:val="1A1A2E"/>
          <w:sz w:val="22"/>
          <w:szCs w:val="22"/>
        </w:rPr>
        <w:t xml:space="preserve">You supply to or source from international markets and face payment delays or banking friction</w:t>
      </w:r>
    </w:p>
    <w:p>
      <w:pPr>
        <w:pStyle w:val="ListParagraph"/>
        <w:numPr>
          <w:ilvl w:val="0"/>
          <w:numId w:val="2"/>
        </w:numPr>
        <w:spacing w:before="60" w:after="60"/>
      </w:pPr>
      <w:r>
        <w:rPr>
          <w:rFonts w:ascii="Arial" w:cs="Arial" w:eastAsia="Arial" w:hAnsi="Arial"/>
          <w:b/>
          <w:bCs/>
          <w:color w:val="1A1A2E"/>
          <w:sz w:val="22"/>
          <w:szCs w:val="22"/>
        </w:rPr>
        <w:t xml:space="preserve">You are profitable and paying significant taxes without a clear strategy for legal optimization</w:t>
      </w:r>
    </w:p>
    <w:p>
      <w:pPr>
        <w:pStyle w:val="ListParagraph"/>
        <w:numPr>
          <w:ilvl w:val="0"/>
          <w:numId w:val="2"/>
        </w:numPr>
        <w:spacing w:before="60" w:after="60"/>
      </w:pPr>
      <w:r>
        <w:rPr>
          <w:rFonts w:ascii="Arial" w:cs="Arial" w:eastAsia="Arial" w:hAnsi="Arial"/>
          <w:b/>
          <w:bCs/>
          <w:color w:val="1A1A2E"/>
          <w:sz w:val="22"/>
          <w:szCs w:val="22"/>
        </w:rPr>
        <w:t xml:space="preserve">You want to protect your assets in a politically or economically stable jurisdiction</w:t>
      </w:r>
    </w:p>
    <w:p>
      <w:pPr>
        <w:pStyle w:val="ListParagraph"/>
        <w:numPr>
          <w:ilvl w:val="0"/>
          <w:numId w:val="2"/>
        </w:numPr>
        <w:spacing w:before="60" w:after="60"/>
      </w:pPr>
      <w:r>
        <w:rPr>
          <w:rFonts w:ascii="Arial" w:cs="Arial" w:eastAsia="Arial" w:hAnsi="Arial"/>
          <w:b/>
          <w:bCs/>
          <w:color w:val="1A1A2E"/>
          <w:sz w:val="22"/>
          <w:szCs w:val="22"/>
        </w:rPr>
        <w:t xml:space="preserve">You are planning to expand operations to multiple African countries and need a holding structure</w:t>
      </w:r>
    </w:p>
    <w:p>
      <w:pPr>
        <w:pStyle w:val="ListParagraph"/>
        <w:numPr>
          <w:ilvl w:val="0"/>
          <w:numId w:val="2"/>
        </w:numPr>
        <w:spacing w:before="60" w:after="60"/>
      </w:pPr>
      <w:r>
        <w:rPr>
          <w:rFonts w:ascii="Arial" w:cs="Arial" w:eastAsia="Arial" w:hAnsi="Arial"/>
          <w:b/>
          <w:bCs/>
          <w:color w:val="1A1A2E"/>
          <w:sz w:val="22"/>
          <w:szCs w:val="22"/>
        </w:rPr>
        <w:t xml:space="preserve">You have partners or co-founders in different countries and need a neutral legal home for the business</w:t>
      </w:r>
    </w:p>
    <w:p>
      <w:pPr>
        <w:spacing w:before="80" w:after="80"/>
      </w:pPr>
      <w:r>
        <w:t xml:space="preserve"/>
      </w:r>
    </w:p>
    <w:p>
      <w:pPr>
        <w:spacing w:before="100" w:after="160"/>
        <w:jc w:val="both"/>
      </w:pPr>
      <w:r>
        <w:rPr>
          <w:rFonts w:ascii="Arial" w:cs="Arial" w:eastAsia="Arial" w:hAnsi="Arial"/>
          <w:color w:val="1A1A2E"/>
          <w:sz w:val="22"/>
          <w:szCs w:val="22"/>
        </w:rPr>
        <w:t xml:space="preserve">If two or more of these apply to your situation, the cost of NOT exploring offshore structuring is likely far greater than the cost of getting expert advice.</w:t>
      </w:r>
    </w:p>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7. How Dicalo Consulting Group Helps You</w:t>
      </w:r>
    </w:p>
    <w:p>
      <w:pPr>
        <w:spacing w:before="100" w:after="160"/>
        <w:jc w:val="both"/>
      </w:pPr>
      <w:r>
        <w:rPr>
          <w:rFonts w:ascii="Arial" w:cs="Arial" w:eastAsia="Arial" w:hAnsi="Arial"/>
          <w:color w:val="1A1A2E"/>
          <w:sz w:val="22"/>
          <w:szCs w:val="22"/>
        </w:rPr>
        <w:t xml:space="preserve">At DCG, we have built our practice specifically around the unique challenges and opportunities facing African and Middle Eastern businesses. Our founder is a Chartered Certified Accountant (ACCA, UK) and a member of the Association of Auditors and Accountants in the UAE — with deep expertise in the legal and tax frameworks of both regions.</w:t>
      </w:r>
    </w:p>
    <w:p>
      <w:pPr>
        <w:spacing w:before="80" w:after="80"/>
      </w:pPr>
      <w:r>
        <w:t xml:space="preserve"/>
      </w:r>
    </w:p>
    <w:p>
      <w:pPr>
        <w:spacing w:before="100" w:after="160"/>
        <w:jc w:val="both"/>
      </w:pPr>
      <w:r>
        <w:rPr>
          <w:rFonts w:ascii="Arial" w:cs="Arial" w:eastAsia="Arial" w:hAnsi="Arial"/>
          <w:color w:val="1A1A2E"/>
          <w:sz w:val="22"/>
          <w:szCs w:val="22"/>
        </w:rPr>
        <w:t xml:space="preserve">Here is what our offshore structuring service includes:</w:t>
      </w:r>
    </w:p>
    <w:p>
      <w:pPr>
        <w:spacing w:before="80" w:after="80"/>
      </w:pPr>
      <w:r>
        <w:t xml:space="preserve"/>
      </w:r>
    </w:p>
    <w:p>
      <w:pPr>
        <w:pStyle w:val="ListParagraph"/>
        <w:numPr>
          <w:ilvl w:val="0"/>
          <w:numId w:val="3"/>
        </w:numPr>
        <w:spacing w:before="80" w:after="60"/>
      </w:pPr>
      <w:r>
        <w:rPr>
          <w:rFonts w:ascii="Arial" w:cs="Arial" w:eastAsia="Arial" w:hAnsi="Arial"/>
          <w:color w:val="1A1A2E"/>
          <w:sz w:val="22"/>
          <w:szCs w:val="22"/>
        </w:rPr>
        <w:t xml:space="preserve">Business Needs Assessment — Understanding your goals, current structure, and target markets</w:t>
      </w:r>
    </w:p>
    <w:p>
      <w:pPr>
        <w:pStyle w:val="ListParagraph"/>
        <w:numPr>
          <w:ilvl w:val="0"/>
          <w:numId w:val="3"/>
        </w:numPr>
        <w:spacing w:before="80" w:after="60"/>
      </w:pPr>
      <w:r>
        <w:rPr>
          <w:rFonts w:ascii="Arial" w:cs="Arial" w:eastAsia="Arial" w:hAnsi="Arial"/>
          <w:color w:val="1A1A2E"/>
          <w:sz w:val="22"/>
          <w:szCs w:val="22"/>
        </w:rPr>
        <w:t xml:space="preserve">Jurisdiction Selection — Recommending the right offshore location based on your specific situation</w:t>
      </w:r>
    </w:p>
    <w:p>
      <w:pPr>
        <w:pStyle w:val="ListParagraph"/>
        <w:numPr>
          <w:ilvl w:val="0"/>
          <w:numId w:val="3"/>
        </w:numPr>
        <w:spacing w:before="80" w:after="60"/>
      </w:pPr>
      <w:r>
        <w:rPr>
          <w:rFonts w:ascii="Arial" w:cs="Arial" w:eastAsia="Arial" w:hAnsi="Arial"/>
          <w:color w:val="1A1A2E"/>
          <w:sz w:val="22"/>
          <w:szCs w:val="22"/>
        </w:rPr>
        <w:t xml:space="preserve">Entity Incorporation — Setting up the offshore company or structure on your behalf</w:t>
      </w:r>
    </w:p>
    <w:p>
      <w:pPr>
        <w:pStyle w:val="ListParagraph"/>
        <w:numPr>
          <w:ilvl w:val="0"/>
          <w:numId w:val="3"/>
        </w:numPr>
        <w:spacing w:before="80" w:after="60"/>
      </w:pPr>
      <w:r>
        <w:rPr>
          <w:rFonts w:ascii="Arial" w:cs="Arial" w:eastAsia="Arial" w:hAnsi="Arial"/>
          <w:color w:val="1A1A2E"/>
          <w:sz w:val="22"/>
          <w:szCs w:val="22"/>
        </w:rPr>
        <w:t xml:space="preserve">Bank Account Opening — Connecting you with compliant international banking partners</w:t>
      </w:r>
    </w:p>
    <w:p>
      <w:pPr>
        <w:pStyle w:val="ListParagraph"/>
        <w:numPr>
          <w:ilvl w:val="0"/>
          <w:numId w:val="3"/>
        </w:numPr>
        <w:spacing w:before="80" w:after="60"/>
      </w:pPr>
      <w:r>
        <w:rPr>
          <w:rFonts w:ascii="Arial" w:cs="Arial" w:eastAsia="Arial" w:hAnsi="Arial"/>
          <w:color w:val="1A1A2E"/>
          <w:sz w:val="22"/>
          <w:szCs w:val="22"/>
        </w:rPr>
        <w:t xml:space="preserve">Compliance Setup — Ensuring proper disclosure and reporting in your home country</w:t>
      </w:r>
    </w:p>
    <w:p>
      <w:pPr>
        <w:pStyle w:val="ListParagraph"/>
        <w:numPr>
          <w:ilvl w:val="0"/>
          <w:numId w:val="3"/>
        </w:numPr>
        <w:spacing w:before="80" w:after="60"/>
      </w:pPr>
      <w:r>
        <w:rPr>
          <w:rFonts w:ascii="Arial" w:cs="Arial" w:eastAsia="Arial" w:hAnsi="Arial"/>
          <w:color w:val="1A1A2E"/>
          <w:sz w:val="22"/>
          <w:szCs w:val="22"/>
        </w:rPr>
        <w:t xml:space="preserve">Ongoing Accounting &amp; Tax Filing — Managing your offshore entity's books and compliance year-round</w:t>
      </w:r>
    </w:p>
    <w:p>
      <w:pPr>
        <w:pStyle w:val="ListParagraph"/>
        <w:numPr>
          <w:ilvl w:val="0"/>
          <w:numId w:val="3"/>
        </w:numPr>
        <w:spacing w:before="80" w:after="160"/>
      </w:pPr>
      <w:r>
        <w:rPr>
          <w:rFonts w:ascii="Arial" w:cs="Arial" w:eastAsia="Arial" w:hAnsi="Arial"/>
          <w:color w:val="1A1A2E"/>
          <w:sz w:val="22"/>
          <w:szCs w:val="22"/>
        </w:rPr>
        <w:t xml:space="preserve">Intercompany Structuring — Setting up proper agreements and transfer pricing documentation between your entities</w:t>
      </w:r>
    </w:p>
    <w:p>
      <w:pPr>
        <w:spacing w:before="80" w:after="80"/>
      </w:pPr>
      <w:r>
        <w:t xml:space="preserve"/>
      </w:r>
    </w:p>
    <w:p>
      <w:pPr>
        <w:spacing w:before="100" w:after="160"/>
        <w:jc w:val="both"/>
      </w:pPr>
      <w:r>
        <w:rPr>
          <w:rFonts w:ascii="Arial" w:cs="Arial" w:eastAsia="Arial" w:hAnsi="Arial"/>
          <w:color w:val="1A1A2E"/>
          <w:sz w:val="22"/>
          <w:szCs w:val="22"/>
        </w:rPr>
        <w:t xml:space="preserve">We have clients across Lagos, Abuja, Port Harcourt, Accra, Kumasi, Douala, Yaoundé, Nairobi, Kampala, Kigali, Dar es Salaam, N'Djamena, Libreville, Kinshasa, and Dubai. We understand the local tax environments, the banking realities, and the practical obstacles that African businesses face — because we work in these markets every day.</w:t>
      </w:r>
    </w:p>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8. A Note on Global Transparency Standards</w:t>
      </w:r>
    </w:p>
    <w:p>
      <w:pPr>
        <w:spacing w:before="100" w:after="160"/>
        <w:jc w:val="both"/>
      </w:pPr>
      <w:r>
        <w:rPr>
          <w:rFonts w:ascii="Arial" w:cs="Arial" w:eastAsia="Arial" w:hAnsi="Arial"/>
          <w:color w:val="1A1A2E"/>
          <w:sz w:val="22"/>
          <w:szCs w:val="22"/>
        </w:rPr>
        <w:t xml:space="preserve">The era of truly secret offshore accounts ended years ago. The OECD's Common Reporting Standard (CRS), the US FATCA regulations, the EU's DAC6 directive, and bilateral tax information exchange agreements between countries mean that financial information now flows freely between tax authorities globally.</w:t>
      </w:r>
    </w:p>
    <w:p>
      <w:pPr>
        <w:spacing w:before="80" w:after="80"/>
      </w:pPr>
      <w:r>
        <w:t xml:space="preserve"/>
      </w:r>
    </w:p>
    <w:p>
      <w:pPr>
        <w:spacing w:before="100" w:after="160"/>
        <w:jc w:val="both"/>
      </w:pPr>
      <w:r>
        <w:rPr>
          <w:rFonts w:ascii="Arial" w:cs="Arial" w:eastAsia="Arial" w:hAnsi="Arial"/>
          <w:color w:val="1A1A2E"/>
          <w:sz w:val="22"/>
          <w:szCs w:val="22"/>
        </w:rPr>
        <w:t xml:space="preserve">This is not a reason to avoid offshore structuring. It is a reason to do it properly. Businesses that have set up offshore entities with full disclosure and proper compliance sleep soundly at night. They benefit from all the advantages of international structuring with none of the legal risk.</w:t>
      </w:r>
    </w:p>
    <w:p>
      <w:pPr>
        <w:spacing w:before="80" w:after="80"/>
      </w:pPr>
      <w:r>
        <w:t xml:space="preserve"/>
      </w:r>
    </w:p>
    <w:p>
      <w:pPr>
        <w:spacing w:before="100" w:after="160"/>
        <w:jc w:val="both"/>
      </w:pPr>
      <w:r>
        <w:rPr>
          <w:rFonts w:ascii="Arial" w:cs="Arial" w:eastAsia="Arial" w:hAnsi="Arial"/>
          <w:color w:val="1A1A2E"/>
          <w:sz w:val="22"/>
          <w:szCs w:val="22"/>
        </w:rPr>
        <w:t xml:space="preserve">Those who set up structures specifically to hide assets are operating on borrowed time — and the consequences when discovered are severe: back taxes, interest, penalties, reputational damage, and in extreme cases, criminal prosecution.</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4B0082" w:sz="6"/>
              <w:left w:val="single" w:color="4B0082" w:sz="18"/>
              <w:bottom w:val="single" w:color="4B0082" w:sz="6"/>
              <w:right w:val="none"/>
            </w:tcBorders>
            <w:shd w:fill="F3EEF9" w:val="clear"/>
            <w:tcMar>
              <w:top w:type="dxa" w:w="120"/>
              <w:left w:type="dxa" w:w="200"/>
              <w:bottom w:type="dxa" w:w="120"/>
              <w:right w:type="dxa" w:w="200"/>
            </w:tcMar>
          </w:tcPr>
          <w:p>
            <w:pPr>
              <w:jc w:val="left"/>
            </w:pPr>
            <w:r>
              <w:rPr>
                <w:rFonts w:ascii="Arial" w:cs="Arial" w:eastAsia="Arial" w:hAnsi="Arial"/>
                <w:i/>
                <w:iCs/>
                <w:color w:val="1A1A2E"/>
                <w:sz w:val="22"/>
                <w:szCs w:val="22"/>
              </w:rPr>
              <w:t xml:space="preserve">Our philosophy is simple: structure for efficiency, operate with integrity, disclose everything required. That combination gives our clients a competitive advantage that is both powerful and sustainable.</w:t>
            </w:r>
          </w:p>
        </w:tc>
      </w:tr>
    </w:tbl>
    <w:p>
      <w:pPr>
        <w:pBdr>
          <w:bottom w:val="single" w:color="4B0082" w:sz="2"/>
        </w:pBdr>
        <w:spacing w:before="200" w:after="200"/>
      </w:pPr>
      <w:r>
        <w:t xml:space="preserve"/>
      </w:r>
    </w:p>
    <w:p>
      <w:pPr>
        <w:pStyle w:val="Heading1"/>
        <w:spacing w:before="400" w:after="200"/>
      </w:pPr>
      <w:r>
        <w:rPr>
          <w:rFonts w:ascii="Arial" w:cs="Arial" w:eastAsia="Arial" w:hAnsi="Arial"/>
          <w:b/>
          <w:bCs/>
          <w:color w:val="4B0082"/>
          <w:sz w:val="36"/>
          <w:szCs w:val="36"/>
        </w:rPr>
        <w:t xml:space="preserve">Conclusion: Structure is a Strategy — Not a Shortcut</w:t>
      </w:r>
    </w:p>
    <w:p>
      <w:pPr>
        <w:spacing w:before="100" w:after="160"/>
        <w:jc w:val="both"/>
      </w:pPr>
      <w:r>
        <w:rPr>
          <w:rFonts w:ascii="Arial" w:cs="Arial" w:eastAsia="Arial" w:hAnsi="Arial"/>
          <w:color w:val="1A1A2E"/>
          <w:sz w:val="22"/>
          <w:szCs w:val="22"/>
        </w:rPr>
        <w:t xml:space="preserve">Offshore accounts, used correctly, are a legitimate and powerful tool in the financial toolkit of any growing international business. For entrepreneurs and business owners across Africa and the Middle East who are navigating currency instability, international payment friction, cross-border expansion, and tax complexity, strategic offshore structuring can be genuinely transformative.</w:t>
      </w:r>
    </w:p>
    <w:p>
      <w:pPr>
        <w:spacing w:before="80" w:after="80"/>
      </w:pPr>
      <w:r>
        <w:t xml:space="preserve"/>
      </w:r>
    </w:p>
    <w:p>
      <w:pPr>
        <w:spacing w:before="100" w:after="160"/>
        <w:jc w:val="both"/>
      </w:pPr>
      <w:r>
        <w:rPr>
          <w:rFonts w:ascii="Arial" w:cs="Arial" w:eastAsia="Arial" w:hAnsi="Arial"/>
          <w:color w:val="1A1A2E"/>
          <w:sz w:val="22"/>
          <w:szCs w:val="22"/>
        </w:rPr>
        <w:t xml:space="preserve">But — and this cannot be overstated — it must be done correctly. With full disclosure. With substance. With compliance. And with expert guidance from professionals who understand both the opportunities and the obligations.</w:t>
      </w:r>
    </w:p>
    <w:p>
      <w:pPr>
        <w:spacing w:before="80" w:after="80"/>
      </w:pPr>
      <w:r>
        <w:t xml:space="preserve"/>
      </w:r>
    </w:p>
    <w:p>
      <w:pPr>
        <w:spacing w:before="100" w:after="160"/>
        <w:jc w:val="both"/>
      </w:pPr>
      <w:r>
        <w:rPr>
          <w:rFonts w:ascii="Arial" w:cs="Arial" w:eastAsia="Arial" w:hAnsi="Arial"/>
          <w:color w:val="1A1A2E"/>
          <w:sz w:val="22"/>
          <w:szCs w:val="22"/>
        </w:rPr>
        <w:t xml:space="preserve">That is exactly what Dicalo Consulting Group exists to provide.</w:t>
      </w:r>
    </w:p>
    <w:p>
      <w:pPr>
        <w:spacing w:before="80" w:after="80"/>
      </w:pPr>
      <w:r>
        <w:t xml:space="preserve"/>
      </w:r>
    </w:p>
    <w:p>
      <w:pPr>
        <w:spacing w:before="100" w:after="160"/>
        <w:jc w:val="both"/>
      </w:pPr>
      <w:r>
        <w:rPr>
          <w:rFonts w:ascii="Arial" w:cs="Arial" w:eastAsia="Arial" w:hAnsi="Arial"/>
          <w:color w:val="1A1A2E"/>
          <w:sz w:val="22"/>
          <w:szCs w:val="22"/>
        </w:rPr>
        <w:t xml:space="preserve">Whether you are a Lagos-based manufacturer eyeing a UAE entity, a Ghanaian tech founder needing a UK structure to close a funding round, a Cameroonian importer who needs better banking, or an East African investor building a regional portfolio — we have the expertise, the regional knowledge, and the international credentials to structure your business for the next level of growth.</w:t>
      </w:r>
    </w:p>
    <w:p>
      <w:pPr>
        <w:spacing w:before="80" w:after="80"/>
      </w:pPr>
      <w:r>
        <w:t xml:space="preserve"/>
      </w:r>
    </w:p>
    <w:p>
      <w:pPr>
        <w:pBdr>
          <w:bottom w:val="single" w:color="4B0082" w:sz="2"/>
        </w:pBdr>
        <w:spacing w:before="200" w:after="200"/>
      </w:pPr>
      <w:r>
        <w:t xml:space="preserve"/>
      </w:r>
    </w:p>
    <w:p>
      <w:pPr>
        <w:spacing w:before="200" w:after="120"/>
        <w:jc w:val="center"/>
      </w:pPr>
      <w:r>
        <w:rPr>
          <w:rFonts w:ascii="Arial" w:cs="Arial" w:eastAsia="Arial" w:hAnsi="Arial"/>
          <w:b/>
          <w:bCs/>
          <w:color w:val="4B0082"/>
          <w:sz w:val="32"/>
          <w:szCs w:val="32"/>
        </w:rPr>
        <w:t xml:space="preserve">Ready to Structure Smarter?</w:t>
      </w:r>
    </w:p>
    <w:p>
      <w:pPr>
        <w:spacing w:before="0" w:after="200"/>
        <w:jc w:val="center"/>
      </w:pPr>
      <w:r>
        <w:rPr>
          <w:rFonts w:ascii="Arial" w:cs="Arial" w:eastAsia="Arial" w:hAnsi="Arial"/>
          <w:color w:val="1A1A2E"/>
          <w:sz w:val="24"/>
          <w:szCs w:val="24"/>
        </w:rPr>
        <w:t xml:space="preserve">Book a free consultation with our team today.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F3EEF9" w:val="clear"/>
            <w:tcMar>
              <w:top w:type="dxa" w:w="120"/>
              <w:left w:type="dxa" w:w="150"/>
              <w:bottom w:type="dxa" w:w="120"/>
              <w:right w:type="dxa" w:w="150"/>
            </w:tcMar>
          </w:tcPr>
          <w:p>
            <w:pPr>
              <w:jc w:val="center"/>
            </w:pPr>
            <w:r>
              <w:rPr>
                <w:rFonts w:ascii="Arial" w:cs="Arial" w:eastAsia="Arial" w:hAnsi="Arial"/>
                <w:b/>
                <w:bCs/>
                <w:color w:val="4B0082"/>
                <w:sz w:val="20"/>
                <w:szCs w:val="20"/>
              </w:rPr>
              <w:t xml:space="preserve">Website</w:t>
            </w:r>
          </w:p>
          <w:p>
            <w:pPr>
              <w:jc w:val="center"/>
            </w:pPr>
            <w:r>
              <w:rPr>
                <w:rFonts w:ascii="Arial" w:cs="Arial" w:eastAsia="Arial" w:hAnsi="Arial"/>
                <w:color w:val="1A1A2E"/>
                <w:sz w:val="20"/>
                <w:szCs w:val="20"/>
              </w:rPr>
              <w:t xml:space="preserve">dicaloo.com</w:t>
            </w:r>
          </w:p>
        </w:tc>
        <w:tc>
          <w:tcPr>
            <w:tcW w:type="dxa" w:w="3120"/>
            <w:tcBorders>
              <w:top w:val="single" w:color="CCCCCC" w:sz="1"/>
              <w:left w:val="single" w:color="CCCCCC" w:sz="1"/>
              <w:bottom w:val="single" w:color="CCCCCC" w:sz="1"/>
              <w:right w:val="single" w:color="CCCCCC" w:sz="1"/>
            </w:tcBorders>
            <w:shd w:fill="F3EEF9" w:val="clear"/>
            <w:tcMar>
              <w:top w:type="dxa" w:w="120"/>
              <w:left w:type="dxa" w:w="150"/>
              <w:bottom w:type="dxa" w:w="120"/>
              <w:right w:type="dxa" w:w="150"/>
            </w:tcMar>
          </w:tcPr>
          <w:p>
            <w:pPr>
              <w:jc w:val="center"/>
            </w:pPr>
            <w:r>
              <w:rPr>
                <w:rFonts w:ascii="Arial" w:cs="Arial" w:eastAsia="Arial" w:hAnsi="Arial"/>
                <w:b/>
                <w:bCs/>
                <w:color w:val="4B0082"/>
                <w:sz w:val="20"/>
                <w:szCs w:val="20"/>
              </w:rPr>
              <w:t xml:space="preserve">Phone / WhatsApp</w:t>
            </w:r>
          </w:p>
          <w:p>
            <w:pPr>
              <w:jc w:val="center"/>
            </w:pPr>
            <w:r>
              <w:rPr>
                <w:rFonts w:ascii="Arial" w:cs="Arial" w:eastAsia="Arial" w:hAnsi="Arial"/>
                <w:color w:val="1A1A2E"/>
                <w:sz w:val="20"/>
                <w:szCs w:val="20"/>
              </w:rPr>
              <w:t xml:space="preserve">+971 55 153 8441</w:t>
            </w:r>
          </w:p>
        </w:tc>
        <w:tc>
          <w:tcPr>
            <w:tcW w:type="dxa" w:w="3120"/>
            <w:tcBorders>
              <w:top w:val="single" w:color="CCCCCC" w:sz="1"/>
              <w:left w:val="single" w:color="CCCCCC" w:sz="1"/>
              <w:bottom w:val="single" w:color="CCCCCC" w:sz="1"/>
              <w:right w:val="single" w:color="CCCCCC" w:sz="1"/>
            </w:tcBorders>
            <w:shd w:fill="F3EEF9" w:val="clear"/>
            <w:tcMar>
              <w:top w:type="dxa" w:w="120"/>
              <w:left w:type="dxa" w:w="150"/>
              <w:bottom w:type="dxa" w:w="120"/>
              <w:right w:type="dxa" w:w="150"/>
            </w:tcMar>
          </w:tcPr>
          <w:p>
            <w:pPr>
              <w:jc w:val="center"/>
            </w:pPr>
            <w:r>
              <w:rPr>
                <w:rFonts w:ascii="Arial" w:cs="Arial" w:eastAsia="Arial" w:hAnsi="Arial"/>
                <w:b/>
                <w:bCs/>
                <w:color w:val="4B0082"/>
                <w:sz w:val="20"/>
                <w:szCs w:val="20"/>
              </w:rPr>
              <w:t xml:space="preserve">Email</w:t>
            </w:r>
          </w:p>
          <w:p>
            <w:pPr>
              <w:jc w:val="center"/>
            </w:pPr>
            <w:r>
              <w:rPr>
                <w:rFonts w:ascii="Arial" w:cs="Arial" w:eastAsia="Arial" w:hAnsi="Arial"/>
                <w:color w:val="1A1A2E"/>
                <w:sz w:val="20"/>
                <w:szCs w:val="20"/>
              </w:rPr>
              <w:t xml:space="preserve">support@dicaloo.com</w:t>
            </w:r>
          </w:p>
        </w:tc>
      </w:tr>
    </w:tbl>
    <w:p>
      <w:pPr>
        <w:spacing w:before="80" w:after="80"/>
      </w:pPr>
      <w:r>
        <w:t xml:space="preserve"/>
      </w:r>
    </w:p>
    <w:p>
      <w:pPr>
        <w:spacing w:before="200" w:after="80"/>
        <w:jc w:val="center"/>
      </w:pPr>
      <w:r>
        <w:rPr>
          <w:rFonts w:ascii="Arial" w:cs="Arial" w:eastAsia="Arial" w:hAnsi="Arial"/>
          <w:i/>
          <w:iCs/>
          <w:color w:val="666666"/>
          <w:sz w:val="18"/>
          <w:szCs w:val="18"/>
        </w:rPr>
        <w:t xml:space="preserve">Follow us: LinkedIn | Instagram | Facebook | YouTube | Twitter/X</w:t>
      </w:r>
    </w:p>
    <w:p>
      <w:pPr>
        <w:spacing w:before="0" w:after="0"/>
        <w:jc w:val="center"/>
      </w:pPr>
      <w:r>
        <w:rPr>
          <w:rFonts w:ascii="Arial" w:cs="Arial" w:eastAsia="Arial" w:hAnsi="Arial"/>
          <w:color w:val="666666"/>
          <w:sz w:val="16"/>
          <w:szCs w:val="16"/>
        </w:rPr>
        <w:t xml:space="preserve">Dicalo Consulting Group  |  UAE  |  UK  |  Nigeria  |  Ghana  |  Cameroon  |  East Africa</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Arial" w:cs="Arial" w:eastAsia="Arial" w:hAnsi="Arial"/>
      <w:b/>
      <w:bCs/>
      <w:color w:val="4B0082"/>
      <w:sz w:val="36"/>
      <w:szCs w:val="36"/>
    </w:rPr>
  </w:style>
  <w:style w:type="paragraph" w:styleId="Heading2">
    <w:name w:val="Heading 2"/>
    <w:basedOn w:val="Normal"/>
    <w:next w:val="Normal"/>
    <w:qFormat/>
    <w:pPr>
      <w:spacing w:before="320" w:after="160"/>
      <w:outlineLvl w:val="1"/>
    </w:pPr>
    <w:rPr>
      <w:rFonts w:ascii="Arial" w:cs="Arial" w:eastAsia="Arial" w:hAnsi="Arial"/>
      <w:b/>
      <w:bCs/>
      <w:color w:val="1A1A2E"/>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2026-02-17T09:28:37.739Z</dcterms:created>
  <dcterms:modified xsi:type="dcterms:W3CDTF">2026-02-17T09:28:37.740Z</dcterms:modified>
</cp:coreProperties>
</file>

<file path=docProps/custom.xml><?xml version="1.0" encoding="utf-8"?>
<Properties xmlns="http://schemas.openxmlformats.org/officeDocument/2006/custom-properties" xmlns:vt="http://schemas.openxmlformats.org/officeDocument/2006/docPropsVTypes"/>
</file>